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3F" w:rsidRDefault="009C383F" w:rsidP="00515F43">
      <w:pPr>
        <w:shd w:val="clear" w:color="auto" w:fill="FFFFFF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Dôležité upozornenie:</w:t>
      </w:r>
    </w:p>
    <w:p w:rsidR="009C383F" w:rsidRPr="00280C19" w:rsidRDefault="009C383F" w:rsidP="00515F43">
      <w:pPr>
        <w:shd w:val="clear" w:color="auto" w:fill="FFFFFF"/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  <w:r w:rsidRPr="00280C19">
        <w:rPr>
          <w:rFonts w:ascii="Arial" w:hAnsi="Arial" w:cs="Arial"/>
          <w:sz w:val="24"/>
          <w:szCs w:val="24"/>
        </w:rPr>
        <w:t>Slovenská obchodná inšpekcia</w:t>
      </w:r>
      <w:r>
        <w:rPr>
          <w:rFonts w:ascii="Arial" w:hAnsi="Arial" w:cs="Arial"/>
          <w:sz w:val="24"/>
          <w:szCs w:val="24"/>
        </w:rPr>
        <w:t xml:space="preserve"> n</w:t>
      </w:r>
      <w:r w:rsidRPr="00280C19">
        <w:rPr>
          <w:rFonts w:ascii="Arial" w:hAnsi="Arial" w:cs="Arial"/>
          <w:sz w:val="24"/>
          <w:szCs w:val="24"/>
        </w:rPr>
        <w:t>a základe informácie, ktorú dostala od spoločnosti GRUNDFOS, Prievozská 4D, 821 09  Bratislava, v</w:t>
      </w:r>
      <w:r>
        <w:rPr>
          <w:rFonts w:ascii="Arial" w:hAnsi="Arial" w:cs="Arial"/>
          <w:sz w:val="24"/>
          <w:szCs w:val="24"/>
        </w:rPr>
        <w:t> </w:t>
      </w:r>
      <w:r w:rsidRPr="00280C19">
        <w:rPr>
          <w:rFonts w:ascii="Arial" w:hAnsi="Arial" w:cs="Arial"/>
          <w:sz w:val="24"/>
          <w:szCs w:val="24"/>
        </w:rPr>
        <w:t>záujme</w:t>
      </w:r>
      <w:r>
        <w:rPr>
          <w:rFonts w:ascii="Arial" w:hAnsi="Arial" w:cs="Arial"/>
          <w:sz w:val="24"/>
          <w:szCs w:val="24"/>
        </w:rPr>
        <w:t xml:space="preserve"> </w:t>
      </w:r>
      <w:r w:rsidRPr="00280C19">
        <w:rPr>
          <w:rFonts w:ascii="Arial" w:hAnsi="Arial" w:cs="Arial"/>
          <w:sz w:val="24"/>
          <w:szCs w:val="24"/>
        </w:rPr>
        <w:t>dôslednej ochrany spotrebiteľa</w:t>
      </w:r>
      <w:r>
        <w:rPr>
          <w:rFonts w:ascii="Arial" w:hAnsi="Arial" w:cs="Arial"/>
          <w:sz w:val="24"/>
          <w:szCs w:val="24"/>
        </w:rPr>
        <w:t xml:space="preserve"> uver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ejňuje nasledovný oznam:</w:t>
      </w:r>
    </w:p>
    <w:p w:rsidR="009C383F" w:rsidRPr="006433F8" w:rsidRDefault="009C383F" w:rsidP="00515F43">
      <w:pPr>
        <w:shd w:val="clear" w:color="auto" w:fill="FFFFFF"/>
        <w:spacing w:before="240" w:after="24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>Spoločnosť Grundfos vydala bezpečnostné varovanie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týkajúce sa predošlého modelu čerpadiel CONLIFT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vyrobených v 47. týždni roku 2007 a skôr. Čerpadlá z tohto obdobia môžu za určitých okolností predstavovať bezpečnostné riziko vzniku požiaru. </w:t>
      </w:r>
    </w:p>
    <w:p w:rsidR="009C383F" w:rsidRPr="006433F8" w:rsidRDefault="009C383F" w:rsidP="00515F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>Bezpečnosť a spoľahlivosť produktov je vždy našou najvyššou prioritou. To je dôvod, prečo spoločnosť Grundfos vydáva toto bezpečnostné varovanie ohľadom radu kompaktných čerpadiel pre kondenzáty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využívaných v rôznych inštaláciách.</w:t>
      </w:r>
    </w:p>
    <w:p w:rsidR="009C383F" w:rsidRPr="006433F8" w:rsidRDefault="009C383F" w:rsidP="00515F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:rsidR="009C383F" w:rsidRPr="00FA44DE" w:rsidRDefault="009C383F" w:rsidP="006433F8">
      <w:pPr>
        <w:tabs>
          <w:tab w:val="left" w:pos="1560"/>
          <w:tab w:val="left" w:pos="249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>CONLIFT je rad profesionálnych kompaktných čerpadiel na kondenzáty, ktoré sú inštalované v komerčných budovách i v domácnostiach. Tieto produkty sa používajú tam, kde kondenzát nemôže odtekať prirodzene, alebo keď sa zdroj kondenzátu nachádza pod úrovňou výpustnej hladiny. Ich typické využitie je na odstránenie kondenzátov z kondenzačných kotlov, komínov, klimatizá</w:t>
      </w:r>
      <w:r>
        <w:rPr>
          <w:rFonts w:ascii="Arial" w:hAnsi="Arial" w:cs="Arial"/>
          <w:sz w:val="20"/>
          <w:szCs w:val="20"/>
          <w:lang w:val="sk-SK"/>
        </w:rPr>
        <w:t>cií, odvlhčovačov a chladiacich</w:t>
      </w:r>
      <w:r>
        <w:rPr>
          <w:rFonts w:ascii="Arial" w:hAnsi="Arial" w:cs="Arial"/>
          <w:sz w:val="20"/>
          <w:szCs w:val="20"/>
          <w:lang w:val="sk-SK"/>
        </w:rPr>
        <w:tab/>
      </w:r>
      <w:r w:rsidRPr="006433F8">
        <w:rPr>
          <w:rFonts w:ascii="Arial" w:hAnsi="Arial" w:cs="Arial"/>
          <w:sz w:val="20"/>
          <w:szCs w:val="20"/>
          <w:lang w:val="sk-SK"/>
        </w:rPr>
        <w:t xml:space="preserve">zariadení. </w:t>
      </w:r>
      <w:r w:rsidRPr="006433F8">
        <w:rPr>
          <w:rFonts w:ascii="Arial" w:hAnsi="Arial" w:cs="Arial"/>
          <w:sz w:val="20"/>
          <w:szCs w:val="20"/>
          <w:lang w:val="sk-SK"/>
        </w:rPr>
        <w:br/>
      </w:r>
      <w:r w:rsidRPr="006433F8">
        <w:rPr>
          <w:rFonts w:ascii="Arial" w:hAnsi="Arial" w:cs="Arial"/>
          <w:sz w:val="20"/>
          <w:szCs w:val="20"/>
          <w:lang w:val="sk-SK"/>
        </w:rPr>
        <w:br/>
        <w:t>Príslušné zariadenie vyzerá takto:</w:t>
      </w:r>
    </w:p>
    <w:p w:rsidR="009C383F" w:rsidRPr="00FA44DE" w:rsidRDefault="009C383F" w:rsidP="00515F43">
      <w:pPr>
        <w:spacing w:after="0" w:line="240" w:lineRule="auto"/>
        <w:rPr>
          <w:rFonts w:ascii="Arial" w:hAnsi="Arial" w:cs="Arial"/>
          <w:sz w:val="24"/>
          <w:szCs w:val="24"/>
          <w:lang w:val="sk-SK"/>
        </w:rPr>
      </w:pPr>
    </w:p>
    <w:p w:rsidR="009C383F" w:rsidRPr="00FA44DE" w:rsidRDefault="009C383F" w:rsidP="00515F43">
      <w:pPr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 w:rsidRPr="00A03A81">
        <w:rPr>
          <w:rFonts w:ascii="Arial" w:hAnsi="Arial" w:cs="Arial"/>
          <w:noProof/>
          <w:sz w:val="24"/>
          <w:szCs w:val="24"/>
          <w:lang w:val="sk-SK"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6pt;height:156pt;visibility:visible">
            <v:imagedata r:id="rId7" o:title=""/>
          </v:shape>
        </w:pict>
      </w:r>
    </w:p>
    <w:p w:rsidR="009C383F" w:rsidRPr="00FA44DE" w:rsidRDefault="009C383F" w:rsidP="00515F43">
      <w:pPr>
        <w:spacing w:after="0" w:line="240" w:lineRule="auto"/>
        <w:rPr>
          <w:rFonts w:ascii="Arial" w:hAnsi="Arial" w:cs="Arial"/>
          <w:sz w:val="24"/>
          <w:szCs w:val="24"/>
          <w:lang w:val="sk-SK"/>
        </w:rPr>
      </w:pPr>
    </w:p>
    <w:p w:rsidR="009C383F" w:rsidRPr="00FA44DE" w:rsidRDefault="009C383F" w:rsidP="00515F43">
      <w:pPr>
        <w:spacing w:after="0" w:line="240" w:lineRule="auto"/>
        <w:rPr>
          <w:rFonts w:ascii="Arial" w:hAnsi="Arial" w:cs="Arial"/>
          <w:sz w:val="24"/>
          <w:szCs w:val="24"/>
          <w:lang w:val="sk-SK"/>
        </w:rPr>
      </w:pPr>
    </w:p>
    <w:p w:rsidR="009C383F" w:rsidRPr="006433F8" w:rsidRDefault="009C383F" w:rsidP="00515F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>Na základe vlastného šetrenia spoločnosť Grundfos došla k záveru, že za určitých technických podmienok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zahŕňajúcich použitie poistiek pre domácnosť nad 10 A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sa motor modelu čerpadla Conlift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vyrobeného až do týždňa 47/2007 (vrátane) môže prehriať, čo by mohlo spôsobiť požiar.</w:t>
      </w:r>
    </w:p>
    <w:p w:rsidR="009C383F" w:rsidRPr="006433F8" w:rsidRDefault="009C383F" w:rsidP="00515F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:rsidR="009C383F" w:rsidRPr="006433F8" w:rsidRDefault="009C383F" w:rsidP="00515F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>Všetky čerpadlá CONLIFT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vyrobené v týždni 48/2007 a</w:t>
      </w:r>
      <w:r>
        <w:rPr>
          <w:rFonts w:ascii="Arial" w:hAnsi="Arial" w:cs="Arial"/>
          <w:sz w:val="20"/>
          <w:szCs w:val="20"/>
          <w:lang w:val="sk-SK"/>
        </w:rPr>
        <w:t> </w:t>
      </w:r>
      <w:r w:rsidRPr="006433F8">
        <w:rPr>
          <w:rFonts w:ascii="Arial" w:hAnsi="Arial" w:cs="Arial"/>
          <w:sz w:val="20"/>
          <w:szCs w:val="20"/>
          <w:lang w:val="sk-SK"/>
        </w:rPr>
        <w:t>neskôr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nepredstavujú žiadne riziko vzniku požiaru. </w:t>
      </w:r>
    </w:p>
    <w:p w:rsidR="009C383F" w:rsidRPr="006433F8" w:rsidRDefault="009C383F" w:rsidP="00515F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:rsidR="009C383F" w:rsidRPr="006433F8" w:rsidRDefault="009C383F" w:rsidP="00515F43">
      <w:pPr>
        <w:tabs>
          <w:tab w:val="left" w:pos="3150"/>
        </w:tabs>
        <w:jc w:val="both"/>
        <w:rPr>
          <w:rFonts w:ascii="Arial" w:hAnsi="Arial" w:cs="Arial"/>
          <w:sz w:val="20"/>
          <w:szCs w:val="20"/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>Pokiaľ sa domnievate, že čerpadlo CONLIFT vyššie uvedeného typu by mohlo byť inštalované vo vašom dome alebo byte, postupujte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prosím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nasledovne:</w:t>
      </w:r>
    </w:p>
    <w:p w:rsidR="009C383F" w:rsidRPr="006433F8" w:rsidRDefault="009C383F" w:rsidP="00515F43">
      <w:pPr>
        <w:tabs>
          <w:tab w:val="left" w:pos="3150"/>
        </w:tabs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>1.</w:t>
      </w:r>
      <w:r w:rsidRPr="006433F8">
        <w:rPr>
          <w:sz w:val="20"/>
          <w:szCs w:val="20"/>
          <w:lang w:val="sk-SK"/>
        </w:rPr>
        <w:tab/>
      </w:r>
      <w:r w:rsidRPr="006433F8">
        <w:rPr>
          <w:rFonts w:ascii="Arial" w:hAnsi="Arial" w:cs="Arial"/>
          <w:sz w:val="20"/>
          <w:szCs w:val="20"/>
          <w:lang w:val="sk-SK"/>
        </w:rPr>
        <w:t xml:space="preserve">Obráťte sa na miestneho inštalatéra alebo použite nižšie uvedený postup na zistenie, či sa toto bezpečnostné varovanie týka aj vášho čerpadla. </w:t>
      </w:r>
    </w:p>
    <w:p w:rsidR="009C383F" w:rsidRPr="006433F8" w:rsidRDefault="009C383F" w:rsidP="006433F8">
      <w:pPr>
        <w:tabs>
          <w:tab w:val="left" w:pos="3150"/>
        </w:tabs>
        <w:ind w:left="567" w:hanging="567"/>
        <w:jc w:val="both"/>
        <w:rPr>
          <w:rFonts w:ascii="Arial" w:hAnsi="Arial" w:cs="Arial"/>
          <w:sz w:val="24"/>
          <w:szCs w:val="24"/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>2.</w:t>
      </w:r>
      <w:r w:rsidRPr="006433F8">
        <w:rPr>
          <w:sz w:val="20"/>
          <w:szCs w:val="20"/>
          <w:lang w:val="sk-SK"/>
        </w:rPr>
        <w:tab/>
      </w:r>
      <w:r w:rsidRPr="006433F8">
        <w:rPr>
          <w:rFonts w:ascii="Arial" w:hAnsi="Arial" w:cs="Arial"/>
          <w:sz w:val="20"/>
          <w:szCs w:val="20"/>
          <w:lang w:val="sk-SK"/>
        </w:rPr>
        <w:t>Vznik požiaru je nepravdepodobný, nemožno ho však úplne vylúčiť. Ak sa bezpečnostné upozornenie týka aj vášho čerpadla, ihneď kontaktujte vášho inštalatéra, ktorý vám čerpadlo vymení.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Pr="006433F8">
        <w:rPr>
          <w:rFonts w:ascii="Arial" w:hAnsi="Arial" w:cs="Arial"/>
          <w:sz w:val="20"/>
          <w:szCs w:val="20"/>
          <w:lang w:val="sk-SK"/>
        </w:rPr>
        <w:t>Za týchto okolností vám spoločnosť Grundfos úplne zdarma nainštaluje nové čerpadlo CONLIFT a pokryje aj všetky nevyhnutné náklady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spojené s výmenou starého čerpadla. Ďalšie informácie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týkajúce sa dodávateľov a</w:t>
      </w:r>
      <w:r>
        <w:rPr>
          <w:rFonts w:ascii="Arial" w:hAnsi="Arial" w:cs="Arial"/>
          <w:sz w:val="20"/>
          <w:szCs w:val="20"/>
          <w:lang w:val="sk-SK"/>
        </w:rPr>
        <w:t> </w:t>
      </w:r>
      <w:r w:rsidRPr="006433F8">
        <w:rPr>
          <w:rFonts w:ascii="Arial" w:hAnsi="Arial" w:cs="Arial"/>
          <w:sz w:val="20"/>
          <w:szCs w:val="20"/>
          <w:lang w:val="sk-SK"/>
        </w:rPr>
        <w:t>inštalatérov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nájdete na adrese </w:t>
      </w:r>
      <w:r w:rsidRPr="006433F8">
        <w:rPr>
          <w:rFonts w:ascii="Arial" w:hAnsi="Arial" w:cs="Arial"/>
          <w:color w:val="0000FF"/>
          <w:sz w:val="20"/>
          <w:szCs w:val="20"/>
          <w:u w:val="single"/>
          <w:lang w:val="sk-SK"/>
        </w:rPr>
        <w:t>sk.grundfos.com/conliftsafetywarning.html</w:t>
      </w:r>
      <w:r w:rsidRPr="006433F8">
        <w:rPr>
          <w:rFonts w:ascii="Arial" w:hAnsi="Arial" w:cs="Arial"/>
          <w:sz w:val="20"/>
          <w:szCs w:val="20"/>
          <w:lang w:val="sk-SK"/>
        </w:rPr>
        <w:t>.</w:t>
      </w:r>
    </w:p>
    <w:p w:rsidR="009C383F" w:rsidRDefault="009C383F" w:rsidP="006433F8">
      <w:pPr>
        <w:tabs>
          <w:tab w:val="left" w:pos="3150"/>
        </w:tabs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>3.</w:t>
      </w:r>
      <w:r w:rsidRPr="006433F8">
        <w:rPr>
          <w:sz w:val="20"/>
          <w:szCs w:val="20"/>
          <w:lang w:val="sk-SK"/>
        </w:rPr>
        <w:tab/>
      </w:r>
      <w:r w:rsidRPr="006433F8">
        <w:rPr>
          <w:rFonts w:ascii="Arial" w:hAnsi="Arial" w:cs="Arial"/>
          <w:sz w:val="20"/>
          <w:szCs w:val="20"/>
          <w:lang w:val="sk-SK"/>
        </w:rPr>
        <w:t>Keď je vám nepríjemné nechať čerpadlo ďalej zapnuté, môžete ho vypnúť. Pre nebezpečenstvo úniku vody treba však vypnúť aj všetky pripojené zariadenia, napr. kondenzačný kotol, klimatizáciu, odvlhčovač alebo chladničku.</w:t>
      </w:r>
    </w:p>
    <w:p w:rsidR="009C383F" w:rsidRPr="006433F8" w:rsidRDefault="009C383F" w:rsidP="006433F8">
      <w:pPr>
        <w:tabs>
          <w:tab w:val="left" w:pos="3150"/>
        </w:tabs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</w:p>
    <w:p w:rsidR="009C383F" w:rsidRPr="006433F8" w:rsidRDefault="009C383F" w:rsidP="00515F43">
      <w:pPr>
        <w:tabs>
          <w:tab w:val="left" w:pos="3150"/>
        </w:tabs>
        <w:jc w:val="both"/>
        <w:rPr>
          <w:rFonts w:ascii="Arial" w:hAnsi="Arial" w:cs="Arial"/>
          <w:sz w:val="20"/>
          <w:szCs w:val="20"/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 xml:space="preserve">Pre viac informácií neváhajte kontaktovať miestneho predajcu Grundfos, vášho inštalatéra, navštívte webovú adresu </w:t>
      </w:r>
      <w:hyperlink r:id="rId8" w:history="1">
        <w:r w:rsidRPr="006433F8">
          <w:rPr>
            <w:rStyle w:val="Hyperlink"/>
            <w:rFonts w:ascii="Arial" w:hAnsi="Arial" w:cs="Arial"/>
            <w:sz w:val="20"/>
            <w:szCs w:val="20"/>
            <w:lang w:val="sk-SK"/>
          </w:rPr>
          <w:t>http://sk.grundfos.com/about-us/news-and-press/news/conliftsafetywarning.html</w:t>
        </w:r>
      </w:hyperlink>
      <w:r w:rsidRPr="006433F8">
        <w:rPr>
          <w:rFonts w:ascii="Arial" w:hAnsi="Arial" w:cs="Arial"/>
          <w:sz w:val="20"/>
          <w:szCs w:val="20"/>
          <w:lang w:val="sk-SK"/>
        </w:rPr>
        <w:t xml:space="preserve"> alebo zavolajte na našu servisnú HELP LINKU 0911 722 822.</w:t>
      </w:r>
    </w:p>
    <w:p w:rsidR="009C383F" w:rsidRPr="006433F8" w:rsidRDefault="009C383F" w:rsidP="00515F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:rsidR="009C383F" w:rsidRPr="006433F8" w:rsidRDefault="009C383F" w:rsidP="00515F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>Ospravedlňujeme sa za prípadné nepríjem</w:t>
      </w:r>
      <w:r>
        <w:rPr>
          <w:rFonts w:ascii="Arial" w:hAnsi="Arial" w:cs="Arial"/>
          <w:sz w:val="20"/>
          <w:szCs w:val="20"/>
          <w:lang w:val="sk-SK"/>
        </w:rPr>
        <w:t xml:space="preserve">nosti, ktoré sme vám spôsobili, </w:t>
      </w:r>
      <w:r w:rsidRPr="006433F8">
        <w:rPr>
          <w:rFonts w:ascii="Arial" w:hAnsi="Arial" w:cs="Arial"/>
          <w:sz w:val="20"/>
          <w:szCs w:val="20"/>
          <w:lang w:val="sk-SK"/>
        </w:rPr>
        <w:t>ale bezpečnosť a spoľahlivosť je pre spoločnosť Grundfos hlavnou prioritou.</w:t>
      </w:r>
    </w:p>
    <w:p w:rsidR="009C383F" w:rsidRPr="006433F8" w:rsidRDefault="009C383F" w:rsidP="00515F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:rsidR="009C383F" w:rsidRPr="006433F8" w:rsidRDefault="009C383F" w:rsidP="00515F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:rsidR="009C383F" w:rsidRPr="00FA44DE" w:rsidRDefault="009C383F" w:rsidP="00515F43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sk-SK"/>
        </w:rPr>
      </w:pPr>
      <w:r w:rsidRPr="006433F8">
        <w:rPr>
          <w:rFonts w:ascii="Arial" w:hAnsi="Arial" w:cs="Arial"/>
          <w:b/>
          <w:bCs/>
          <w:sz w:val="20"/>
          <w:szCs w:val="20"/>
          <w:u w:val="single"/>
          <w:lang w:val="sk-SK"/>
        </w:rPr>
        <w:t>Návod na identifikáciu príslušných jednotiek:</w:t>
      </w:r>
    </w:p>
    <w:p w:rsidR="009C383F" w:rsidRPr="006433F8" w:rsidRDefault="009C383F" w:rsidP="00515F4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>Overte, či vaše čerpadlo na kondenzát vyzerá ako na obrázku vyššie:</w:t>
      </w:r>
    </w:p>
    <w:p w:rsidR="009C383F" w:rsidRPr="006433F8" w:rsidRDefault="009C383F" w:rsidP="00515F4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>Skontrolujte výrobný štítok:</w:t>
      </w:r>
    </w:p>
    <w:p w:rsidR="009C383F" w:rsidRPr="006433F8" w:rsidRDefault="009C383F" w:rsidP="00515F4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noProof/>
          <w:lang w:val="sk-SK"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51.9pt;margin-top:24.6pt;width:144.75pt;height:36pt;z-index:251656704;visibility:visible" fillcolor="window" strokeweight=".5pt">
            <v:path arrowok="t"/>
            <v:textbox>
              <w:txbxContent>
                <w:p w:rsidR="009C383F" w:rsidRPr="006433F8" w:rsidRDefault="009C383F" w:rsidP="00515F43">
                  <w:pPr>
                    <w:rPr>
                      <w:rFonts w:ascii="Arial" w:hAnsi="Arial" w:cs="Arial"/>
                      <w:sz w:val="20"/>
                      <w:szCs w:val="20"/>
                      <w:lang w:val="sk-SK"/>
                    </w:rPr>
                  </w:pPr>
                  <w:r w:rsidRPr="006433F8">
                    <w:rPr>
                      <w:rFonts w:ascii="Arial" w:hAnsi="Arial" w:cs="Arial"/>
                      <w:sz w:val="20"/>
                      <w:szCs w:val="20"/>
                      <w:lang w:val="sk-SK"/>
                    </w:rPr>
                    <w:t>Výrobný štítok sa nachádza na boku zariadenia</w:t>
                  </w:r>
                </w:p>
              </w:txbxContent>
            </v:textbox>
          </v:shape>
        </w:pict>
      </w:r>
      <w:r>
        <w:rPr>
          <w:noProof/>
          <w:lang w:val="sk-SK" w:eastAsia="sk-SK"/>
        </w:rPr>
        <w:pict>
          <v:shape id="Text Box 9" o:spid="_x0000_s1027" type="#_x0000_t202" style="position:absolute;left:0;text-align:left;margin-left:247pt;margin-top:94.55pt;width:203.45pt;height:64.5pt;z-index:251659776;visibility:visible" fillcolor="window" strokeweight=".5pt">
            <v:path arrowok="t"/>
            <v:textbox>
              <w:txbxContent>
                <w:p w:rsidR="009C383F" w:rsidRPr="006433F8" w:rsidRDefault="009C383F" w:rsidP="00515F43">
                  <w:pPr>
                    <w:rPr>
                      <w:rFonts w:ascii="Arial" w:hAnsi="Arial" w:cs="Arial"/>
                      <w:sz w:val="20"/>
                      <w:szCs w:val="20"/>
                      <w:lang w:val="sk-SK"/>
                    </w:rPr>
                  </w:pPr>
                  <w:r w:rsidRPr="006433F8">
                    <w:rPr>
                      <w:rStyle w:val="hps"/>
                      <w:rFonts w:ascii="Arial" w:hAnsi="Arial" w:cs="Arial"/>
                      <w:color w:val="222222"/>
                      <w:sz w:val="20"/>
                      <w:szCs w:val="20"/>
                      <w:lang w:val="sk-SK"/>
                    </w:rPr>
                    <w:t>Prvé dve číslice</w:t>
                  </w:r>
                  <w:r>
                    <w:rPr>
                      <w:rStyle w:val="hps"/>
                      <w:rFonts w:ascii="Arial" w:hAnsi="Arial" w:cs="Arial"/>
                      <w:color w:val="222222"/>
                      <w:sz w:val="20"/>
                      <w:szCs w:val="20"/>
                      <w:lang w:val="sk-SK"/>
                    </w:rPr>
                    <w:t xml:space="preserve"> </w:t>
                  </w:r>
                  <w:r w:rsidRPr="006433F8">
                    <w:rPr>
                      <w:rStyle w:val="hps"/>
                      <w:rFonts w:ascii="Arial" w:hAnsi="Arial" w:cs="Arial"/>
                      <w:color w:val="222222"/>
                      <w:sz w:val="20"/>
                      <w:szCs w:val="20"/>
                      <w:lang w:val="sk-SK"/>
                    </w:rPr>
                    <w:t>označujú rok výroby</w:t>
                  </w:r>
                  <w:r w:rsidRPr="006433F8">
                    <w:rPr>
                      <w:rFonts w:ascii="Arial" w:hAnsi="Arial" w:cs="Arial"/>
                      <w:color w:val="222222"/>
                      <w:sz w:val="20"/>
                      <w:szCs w:val="20"/>
                      <w:lang w:val="sk-SK"/>
                    </w:rPr>
                    <w:t xml:space="preserve"> (04 znamená 2004) </w:t>
                  </w:r>
                  <w:r w:rsidRPr="006433F8">
                    <w:rPr>
                      <w:rStyle w:val="hps"/>
                      <w:rFonts w:ascii="Arial" w:hAnsi="Arial" w:cs="Arial"/>
                      <w:color w:val="222222"/>
                      <w:sz w:val="20"/>
                      <w:szCs w:val="20"/>
                      <w:lang w:val="sk-SK"/>
                    </w:rPr>
                    <w:t>a posledné dve</w:t>
                  </w:r>
                  <w:r>
                    <w:rPr>
                      <w:rStyle w:val="hps"/>
                      <w:rFonts w:ascii="Arial" w:hAnsi="Arial" w:cs="Arial"/>
                      <w:color w:val="222222"/>
                      <w:sz w:val="20"/>
                      <w:szCs w:val="20"/>
                      <w:lang w:val="sk-SK"/>
                    </w:rPr>
                    <w:t xml:space="preserve"> </w:t>
                  </w:r>
                  <w:r w:rsidRPr="006433F8">
                    <w:rPr>
                      <w:rStyle w:val="hps"/>
                      <w:rFonts w:ascii="Arial" w:hAnsi="Arial" w:cs="Arial"/>
                      <w:color w:val="222222"/>
                      <w:sz w:val="20"/>
                      <w:szCs w:val="20"/>
                      <w:lang w:val="sk-SK"/>
                    </w:rPr>
                    <w:t>číslice označujú</w:t>
                  </w:r>
                  <w:r>
                    <w:rPr>
                      <w:rStyle w:val="hps"/>
                      <w:rFonts w:ascii="Arial" w:hAnsi="Arial" w:cs="Arial"/>
                      <w:color w:val="222222"/>
                      <w:sz w:val="20"/>
                      <w:szCs w:val="20"/>
                      <w:lang w:val="sk-SK"/>
                    </w:rPr>
                    <w:t xml:space="preserve"> </w:t>
                  </w:r>
                  <w:r w:rsidRPr="006433F8">
                    <w:rPr>
                      <w:rStyle w:val="hps"/>
                      <w:rFonts w:ascii="Arial" w:hAnsi="Arial" w:cs="Arial"/>
                      <w:color w:val="222222"/>
                      <w:sz w:val="20"/>
                      <w:szCs w:val="20"/>
                      <w:lang w:val="sk-SK"/>
                    </w:rPr>
                    <w:t>týždeň</w:t>
                  </w:r>
                  <w:r>
                    <w:rPr>
                      <w:rStyle w:val="hps"/>
                      <w:rFonts w:ascii="Arial" w:hAnsi="Arial" w:cs="Arial"/>
                      <w:color w:val="222222"/>
                      <w:sz w:val="20"/>
                      <w:szCs w:val="20"/>
                      <w:lang w:val="sk-SK"/>
                    </w:rPr>
                    <w:t xml:space="preserve"> </w:t>
                  </w:r>
                  <w:r w:rsidRPr="006433F8">
                    <w:rPr>
                      <w:rStyle w:val="hps"/>
                      <w:rFonts w:ascii="Arial" w:hAnsi="Arial" w:cs="Arial"/>
                      <w:color w:val="222222"/>
                      <w:sz w:val="20"/>
                      <w:szCs w:val="20"/>
                      <w:lang w:val="sk-SK"/>
                    </w:rPr>
                    <w:t>výroby - v tomto prípade (49. týždeň).</w:t>
                  </w:r>
                </w:p>
              </w:txbxContent>
            </v:textbox>
          </v:shape>
        </w:pict>
      </w:r>
      <w:r>
        <w:rPr>
          <w:noProof/>
          <w:lang w:val="sk-SK" w:eastAsia="sk-SK"/>
        </w:rPr>
        <w:pict>
          <v:rect id="Rectangle 3" o:spid="_x0000_s1028" style="position:absolute;left:0;text-align:left;margin-left:118.65pt;margin-top:4.5pt;width:45.7pt;height:44.05pt;rotation:-2019195fd;z-index:251655680;visibility:visible;v-text-anchor:middle" fillcolor="window" stroked="f" strokeweight="2pt">
            <v:path arrowok="t"/>
          </v:rect>
        </w:pict>
      </w:r>
      <w:r>
        <w:rPr>
          <w:noProof/>
          <w:lang w:val="sk-SK"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9" type="#_x0000_t32" style="position:absolute;left:0;text-align:left;margin-left:117.65pt;margin-top:57.25pt;width:34pt;height:13pt;flip:x;z-index:251657728;visibility:visible" strokecolor="windowText">
            <v:stroke endarrow="block"/>
            <o:lock v:ext="edit" shapetype="f"/>
          </v:shape>
        </w:pict>
      </w:r>
      <w:r>
        <w:rPr>
          <w:noProof/>
          <w:lang w:val="sk-SK" w:eastAsia="sk-SK"/>
        </w:rPr>
        <w:pict>
          <v:shape id="Straight Arrow Connector 10" o:spid="_x0000_s1030" type="#_x0000_t32" style="position:absolute;left:0;text-align:left;margin-left:216.65pt;margin-top:98.4pt;width:30.5pt;height:3.6pt;flip:x;z-index:251660800;visibility:visible;mso-position-horizontal-relative:margin" strokecolor="windowText">
            <v:stroke endarrow="block"/>
            <o:lock v:ext="edit" shapetype="f"/>
            <w10:wrap anchorx="margin"/>
          </v:shape>
        </w:pict>
      </w:r>
      <w:r>
        <w:rPr>
          <w:noProof/>
          <w:lang w:val="sk-SK" w:eastAsia="sk-SK"/>
        </w:rPr>
        <w:pict>
          <v:rect id="Rectangle 2" o:spid="_x0000_s1031" style="position:absolute;left:0;text-align:left;margin-left:99.15pt;margin-top:70.15pt;width:21pt;height:11pt;rotation:-1892451fd;z-index:251654656;visibility:visible;v-text-anchor:middle" filled="f" strokecolor="#385d8a" strokeweight="2pt">
            <v:path arrowok="t"/>
          </v:rect>
        </w:pict>
      </w:r>
      <w:r w:rsidRPr="00A03A81">
        <w:rPr>
          <w:rFonts w:ascii="Arial" w:hAnsi="Arial" w:cs="Arial"/>
          <w:noProof/>
          <w:sz w:val="20"/>
          <w:szCs w:val="20"/>
          <w:lang w:val="sk-SK" w:eastAsia="sk-SK"/>
        </w:rPr>
        <w:pict>
          <v:shape id="_x0000_i1026" type="#_x0000_t75" style="width:130.5pt;height:99pt;visibility:visible">
            <v:imagedata r:id="rId9" o:title=""/>
          </v:shape>
        </w:pict>
      </w:r>
    </w:p>
    <w:p w:rsidR="009C383F" w:rsidRPr="006433F8" w:rsidRDefault="009C383F" w:rsidP="00515F43">
      <w:pPr>
        <w:ind w:left="72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noProof/>
          <w:lang w:val="sk-SK" w:eastAsia="sk-SK"/>
        </w:rPr>
        <w:pict>
          <v:rect id="Rectangle 8" o:spid="_x0000_s1032" style="position:absolute;left:0;text-align:left;margin-left:195.15pt;margin-top:.65pt;width:21.5pt;height:16pt;z-index:251658752;visibility:visible;v-text-anchor:middle" filled="f" strokecolor="#4f81bd" strokeweight="2pt">
            <v:path arrowok="t"/>
          </v:rect>
        </w:pict>
      </w:r>
      <w:r w:rsidRPr="00A03A81">
        <w:rPr>
          <w:rFonts w:ascii="Arial" w:hAnsi="Arial" w:cs="Arial"/>
          <w:noProof/>
          <w:sz w:val="20"/>
          <w:szCs w:val="20"/>
          <w:lang w:val="sk-SK" w:eastAsia="sk-SK"/>
        </w:rPr>
        <w:pict>
          <v:shape id="Picture 7" o:spid="_x0000_i1027" type="#_x0000_t75" style="width:192pt;height:76.5pt;visibility:visible">
            <v:imagedata r:id="rId10" o:title=""/>
          </v:shape>
        </w:pict>
      </w:r>
    </w:p>
    <w:p w:rsidR="009C383F" w:rsidRPr="006433F8" w:rsidRDefault="009C383F" w:rsidP="00515F43">
      <w:pPr>
        <w:jc w:val="both"/>
        <w:rPr>
          <w:rFonts w:ascii="Arial" w:hAnsi="Arial" w:cs="Arial"/>
          <w:sz w:val="20"/>
          <w:szCs w:val="20"/>
          <w:lang w:val="sk-SK"/>
        </w:rPr>
      </w:pPr>
    </w:p>
    <w:p w:rsidR="009C383F" w:rsidRPr="00FA44DE" w:rsidRDefault="009C383F" w:rsidP="00515F43">
      <w:pPr>
        <w:numPr>
          <w:ilvl w:val="0"/>
          <w:numId w:val="1"/>
        </w:numPr>
        <w:jc w:val="both"/>
        <w:rPr>
          <w:lang w:val="sk-SK"/>
        </w:rPr>
      </w:pPr>
      <w:r w:rsidRPr="006433F8">
        <w:rPr>
          <w:rFonts w:ascii="Arial" w:hAnsi="Arial" w:cs="Arial"/>
          <w:sz w:val="20"/>
          <w:szCs w:val="20"/>
          <w:lang w:val="sk-SK"/>
        </w:rPr>
        <w:t>Zariadenie treba vymeniť, ak je dátum 0747 alebo skorší (47</w:t>
      </w:r>
      <w:r>
        <w:rPr>
          <w:rFonts w:ascii="Arial" w:hAnsi="Arial" w:cs="Arial"/>
          <w:sz w:val="20"/>
          <w:szCs w:val="20"/>
          <w:lang w:val="sk-SK"/>
        </w:rPr>
        <w:t>.</w:t>
      </w:r>
      <w:r w:rsidRPr="006433F8">
        <w:rPr>
          <w:rFonts w:ascii="Arial" w:hAnsi="Arial" w:cs="Arial"/>
          <w:sz w:val="20"/>
          <w:szCs w:val="20"/>
          <w:lang w:val="sk-SK"/>
        </w:rPr>
        <w:t xml:space="preserve"> týždeň v roku 2007).</w:t>
      </w:r>
    </w:p>
    <w:p w:rsidR="009C383F" w:rsidRDefault="009C383F"/>
    <w:sectPr w:rsidR="009C383F" w:rsidSect="00D73AE7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83F" w:rsidRDefault="009C383F" w:rsidP="00515F43">
      <w:pPr>
        <w:spacing w:after="0" w:line="240" w:lineRule="auto"/>
      </w:pPr>
      <w:r>
        <w:separator/>
      </w:r>
    </w:p>
  </w:endnote>
  <w:endnote w:type="continuationSeparator" w:id="1">
    <w:p w:rsidR="009C383F" w:rsidRDefault="009C383F" w:rsidP="0051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83F" w:rsidRDefault="009C383F" w:rsidP="00515F43">
      <w:pPr>
        <w:spacing w:after="0" w:line="240" w:lineRule="auto"/>
      </w:pPr>
      <w:r>
        <w:separator/>
      </w:r>
    </w:p>
  </w:footnote>
  <w:footnote w:type="continuationSeparator" w:id="1">
    <w:p w:rsidR="009C383F" w:rsidRDefault="009C383F" w:rsidP="00515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3F" w:rsidRDefault="009C383F" w:rsidP="000F57E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383F" w:rsidRDefault="009C38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A1D92"/>
    <w:multiLevelType w:val="hybridMultilevel"/>
    <w:tmpl w:val="555872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F43"/>
    <w:rsid w:val="000157AE"/>
    <w:rsid w:val="000B1086"/>
    <w:rsid w:val="000F57ED"/>
    <w:rsid w:val="00280C19"/>
    <w:rsid w:val="00452575"/>
    <w:rsid w:val="00515F43"/>
    <w:rsid w:val="006433F8"/>
    <w:rsid w:val="006B46FB"/>
    <w:rsid w:val="008702F0"/>
    <w:rsid w:val="00967128"/>
    <w:rsid w:val="009C383F"/>
    <w:rsid w:val="009D12A7"/>
    <w:rsid w:val="00A03A81"/>
    <w:rsid w:val="00AD0FC1"/>
    <w:rsid w:val="00C37150"/>
    <w:rsid w:val="00D453BA"/>
    <w:rsid w:val="00D73AE7"/>
    <w:rsid w:val="00ED1CED"/>
    <w:rsid w:val="00FA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F43"/>
    <w:pPr>
      <w:spacing w:after="160" w:line="259" w:lineRule="auto"/>
    </w:pPr>
    <w:rPr>
      <w:rFonts w:cs="Calibri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515F43"/>
  </w:style>
  <w:style w:type="character" w:styleId="Hyperlink">
    <w:name w:val="Hyperlink"/>
    <w:basedOn w:val="DefaultParagraphFont"/>
    <w:uiPriority w:val="99"/>
    <w:rsid w:val="00515F4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15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5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15F43"/>
    <w:rPr>
      <w:sz w:val="20"/>
      <w:szCs w:val="20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51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F43"/>
    <w:rPr>
      <w:rFonts w:ascii="Tahoma" w:hAnsi="Tahoma" w:cs="Tahoma"/>
      <w:sz w:val="16"/>
      <w:szCs w:val="16"/>
      <w:lang w:val="cs-CZ" w:eastAsia="cs-CZ"/>
    </w:rPr>
  </w:style>
  <w:style w:type="paragraph" w:styleId="Header">
    <w:name w:val="header"/>
    <w:basedOn w:val="Normal"/>
    <w:link w:val="HeaderChar"/>
    <w:uiPriority w:val="99"/>
    <w:rsid w:val="0051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15F43"/>
    <w:rPr>
      <w:lang w:val="cs-CZ" w:eastAsia="cs-CZ"/>
    </w:rPr>
  </w:style>
  <w:style w:type="paragraph" w:styleId="Footer">
    <w:name w:val="footer"/>
    <w:basedOn w:val="Normal"/>
    <w:link w:val="FooterChar"/>
    <w:uiPriority w:val="99"/>
    <w:rsid w:val="0051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15F43"/>
    <w:rPr>
      <w:lang w:val="cs-CZ" w:eastAsia="cs-CZ"/>
    </w:rPr>
  </w:style>
  <w:style w:type="character" w:styleId="PageNumber">
    <w:name w:val="page number"/>
    <w:basedOn w:val="DefaultParagraphFont"/>
    <w:uiPriority w:val="99"/>
    <w:rsid w:val="00D73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grundfos.com/about-us/news-and-press/news/conliftsafetywarning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2</Pages>
  <Words>485</Words>
  <Characters>2770</Characters>
  <Application>Microsoft Office Outlook</Application>
  <DocSecurity>0</DocSecurity>
  <Lines>0</Lines>
  <Paragraphs>0</Paragraphs>
  <ScaleCrop>false</ScaleCrop>
  <Company>Štátna energetická inšpekcia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SEIKI</dc:creator>
  <cp:keywords/>
  <dc:description/>
  <cp:lastModifiedBy>MartaG</cp:lastModifiedBy>
  <cp:revision>7</cp:revision>
  <dcterms:created xsi:type="dcterms:W3CDTF">2015-07-02T06:50:00Z</dcterms:created>
  <dcterms:modified xsi:type="dcterms:W3CDTF">2015-07-03T09:26:00Z</dcterms:modified>
</cp:coreProperties>
</file>